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ED68" w14:textId="77777777" w:rsidR="00F13136" w:rsidRPr="00FF1272" w:rsidRDefault="00F13136" w:rsidP="00F13136">
      <w:pPr>
        <w:widowControl/>
        <w:pBdr>
          <w:bottom w:val="single" w:sz="6" w:space="15" w:color="CCCCCC"/>
        </w:pBdr>
        <w:jc w:val="center"/>
        <w:outlineLvl w:val="0"/>
        <w:rPr>
          <w:rFonts w:ascii="微软雅黑" w:eastAsia="微软雅黑" w:hAnsi="微软雅黑" w:cs="宋体" w:hint="eastAsia"/>
          <w:b/>
          <w:bCs/>
          <w:color w:val="C00000"/>
          <w:kern w:val="36"/>
          <w:sz w:val="48"/>
          <w:szCs w:val="48"/>
          <w14:ligatures w14:val="none"/>
        </w:rPr>
      </w:pPr>
      <w:r w:rsidRPr="00FF1272">
        <w:rPr>
          <w:rFonts w:ascii="微软雅黑" w:eastAsia="微软雅黑" w:hAnsi="微软雅黑" w:cs="宋体" w:hint="eastAsia"/>
          <w:b/>
          <w:bCs/>
          <w:color w:val="C00000"/>
          <w:kern w:val="36"/>
          <w:sz w:val="48"/>
          <w:szCs w:val="48"/>
          <w14:ligatures w14:val="none"/>
        </w:rPr>
        <w:t>关于《拉萨市支持跨境电子商务产业发展的若干政策措施（试行）》政策解读</w:t>
      </w:r>
    </w:p>
    <w:p w14:paraId="7132AE62" w14:textId="77777777" w:rsidR="00F13136" w:rsidRPr="00F13136" w:rsidRDefault="00F13136" w:rsidP="00F13136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F13136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拉萨市人民政府</w:t>
      </w:r>
    </w:p>
    <w:p w14:paraId="4058CC54" w14:textId="77777777" w:rsidR="00F13136" w:rsidRPr="00F13136" w:rsidRDefault="00F13136" w:rsidP="00F13136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F13136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发布时间：2024年09月04日</w:t>
      </w:r>
    </w:p>
    <w:p w14:paraId="29A38D8E" w14:textId="77777777" w:rsidR="00F13136" w:rsidRPr="00F13136" w:rsidRDefault="00F13136" w:rsidP="00F13136">
      <w:pPr>
        <w:widowControl/>
        <w:numPr>
          <w:ilvl w:val="0"/>
          <w:numId w:val="1"/>
        </w:numPr>
        <w:spacing w:line="525" w:lineRule="atLeast"/>
        <w:ind w:left="945" w:right="225"/>
        <w:jc w:val="left"/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14:ligatures w14:val="none"/>
        </w:rPr>
      </w:pPr>
      <w:r w:rsidRPr="00F13136">
        <w:rPr>
          <w:rFonts w:ascii="微软雅黑" w:eastAsia="微软雅黑" w:hAnsi="微软雅黑" w:cs="宋体" w:hint="eastAsia"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来源：拉萨市商务局</w:t>
      </w:r>
    </w:p>
    <w:p w14:paraId="13CC14A1" w14:textId="77777777" w:rsidR="00F13136" w:rsidRPr="00F13136" w:rsidRDefault="00F13136" w:rsidP="00F13136">
      <w:pPr>
        <w:widowControl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1313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一、起草背景及过程</w:t>
      </w:r>
    </w:p>
    <w:p w14:paraId="17400EE7" w14:textId="77777777" w:rsidR="00F13136" w:rsidRPr="00F13136" w:rsidRDefault="00F13136" w:rsidP="00F13136">
      <w:pPr>
        <w:widowControl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为深入贯彻落</w:t>
      </w:r>
      <w:proofErr w:type="gramStart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实习近</w:t>
      </w:r>
      <w:proofErr w:type="gramEnd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平总书记在新时代推动西部大开发座谈会上的重要讲话精神，加快推进跨境电子商务综合试验区建设和跨境电</w:t>
      </w:r>
      <w:proofErr w:type="gramStart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商产业</w:t>
      </w:r>
      <w:proofErr w:type="gramEnd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发展，培育构建跨境电</w:t>
      </w:r>
      <w:proofErr w:type="gramStart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商新业态新</w:t>
      </w:r>
      <w:proofErr w:type="gramEnd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模式，市商务局根据有关政策要求和拉萨实际需要，充分学习借鉴各省市经验做法，起草了《拉萨市支持跨境电子商务产业发展的若干政策措施（试行）》。先后征求各县（区）、经济功能区、市直相关部门和商务厅、人行西藏分行等单位意见建议，修改完善成稿，并完成公平竞争审查等前置程序。提请十二届拉萨市人民政府第</w:t>
      </w:r>
      <w:r w:rsidRPr="00F13136">
        <w:rPr>
          <w:rFonts w:ascii="微软雅黑" w:eastAsia="微软雅黑" w:hAnsi="微软雅黑" w:cs="Times New Roman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37</w:t>
      </w:r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次常务会议研究通过，以市政府名义印发执行。</w:t>
      </w:r>
    </w:p>
    <w:p w14:paraId="0F88600E" w14:textId="77777777" w:rsidR="00F13136" w:rsidRPr="00F13136" w:rsidRDefault="00F13136" w:rsidP="00F13136">
      <w:pPr>
        <w:widowControl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1313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二、主要内容</w:t>
      </w:r>
    </w:p>
    <w:p w14:paraId="43332249" w14:textId="5F994FB2" w:rsidR="002727F5" w:rsidRPr="00FF1272" w:rsidRDefault="00F13136" w:rsidP="00FF1272">
      <w:pPr>
        <w:widowControl/>
        <w:spacing w:line="480" w:lineRule="auto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主要从大力培育企业主体、鼓励传统外贸企业转型、培育发展进出口产业、支持跨境电商物流体系建设、支持跨境电商公共海外仓建设、支持企业赴境外参展、支持购买出口信用保险、支持跨境电商外汇管理服务、支持跨境电商人才培训、支持跨境电</w:t>
      </w:r>
      <w:proofErr w:type="gramStart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商综合</w:t>
      </w:r>
      <w:proofErr w:type="gramEnd"/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服务平台运营等</w:t>
      </w:r>
      <w:r w:rsidRPr="00F13136">
        <w:rPr>
          <w:rFonts w:ascii="微软雅黑" w:eastAsia="微软雅黑" w:hAnsi="微软雅黑" w:cs="Times New Roman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10</w:t>
      </w:r>
      <w:r w:rsidRPr="00F1313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个方面有针对性地制定扶持举措，明确按照不同事项、不同比例给予资金扶持。附则对政策享受规则、申报程序、资金币种等进行了说明，明确自发布之日起试行三年。所需资金从外经贸发展专项资金中解决，资金使用符合国家及自治区有关财经纪律规定。</w:t>
      </w:r>
    </w:p>
    <w:sectPr w:rsidR="002727F5" w:rsidRPr="00FF1272" w:rsidSect="00FF1272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474DA"/>
    <w:multiLevelType w:val="multilevel"/>
    <w:tmpl w:val="4A5A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10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36"/>
    <w:rsid w:val="000324AD"/>
    <w:rsid w:val="002727F5"/>
    <w:rsid w:val="00970E60"/>
    <w:rsid w:val="00B13C68"/>
    <w:rsid w:val="00D954C6"/>
    <w:rsid w:val="00F13136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9A0C"/>
  <w15:chartTrackingRefBased/>
  <w15:docId w15:val="{0DABC88F-A36B-4939-A0E0-1E71848C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546">
              <w:marLeft w:val="0"/>
              <w:marRight w:val="0"/>
              <w:marTop w:val="300"/>
              <w:marBottom w:val="300"/>
              <w:divBdr>
                <w:top w:val="single" w:sz="6" w:space="15" w:color="DFDEDE"/>
                <w:left w:val="single" w:sz="6" w:space="8" w:color="DFDEDE"/>
                <w:bottom w:val="single" w:sz="6" w:space="15" w:color="DFDEDE"/>
                <w:right w:val="single" w:sz="6" w:space="8" w:color="DFDEDE"/>
              </w:divBdr>
              <w:divsChild>
                <w:div w:id="424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SONG</dc:creator>
  <cp:keywords/>
  <dc:description/>
  <cp:lastModifiedBy>BIN SONG</cp:lastModifiedBy>
  <cp:revision>3</cp:revision>
  <dcterms:created xsi:type="dcterms:W3CDTF">2024-12-24T09:37:00Z</dcterms:created>
  <dcterms:modified xsi:type="dcterms:W3CDTF">2024-12-24T09:52:00Z</dcterms:modified>
</cp:coreProperties>
</file>